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D7AE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val="en-US" w:eastAsia="zh-CN"/>
        </w:rPr>
        <w:t>附件6：</w:t>
      </w:r>
    </w:p>
    <w:p w14:paraId="1FCAA22F">
      <w:pPr>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rPr>
          <w:rFonts w:hint="eastAsia" w:ascii="宋体" w:hAnsi="宋体" w:eastAsia="宋体" w:cs="宋体"/>
          <w:b/>
          <w:bCs/>
          <w:color w:val="auto"/>
          <w:sz w:val="44"/>
          <w:szCs w:val="44"/>
        </w:rPr>
      </w:pPr>
      <w:r>
        <w:rPr>
          <w:rFonts w:hint="eastAsia" w:ascii="宋体" w:hAnsi="宋体" w:eastAsia="宋体" w:cs="宋体"/>
          <w:b/>
          <w:bCs/>
          <w:color w:val="auto"/>
          <w:sz w:val="44"/>
          <w:szCs w:val="44"/>
        </w:rPr>
        <w:t>哈尔滨工业大学</w:t>
      </w:r>
      <w:r>
        <w:rPr>
          <w:rFonts w:hint="eastAsia" w:ascii="宋体" w:hAnsi="宋体" w:eastAsia="宋体" w:cs="宋体"/>
          <w:b/>
          <w:bCs/>
          <w:color w:val="auto"/>
          <w:sz w:val="44"/>
          <w:szCs w:val="44"/>
          <w:lang w:eastAsia="zh-CN"/>
        </w:rPr>
        <w:t>（</w:t>
      </w:r>
      <w:r>
        <w:rPr>
          <w:rFonts w:hint="eastAsia" w:ascii="宋体" w:hAnsi="宋体" w:eastAsia="宋体" w:cs="宋体"/>
          <w:b/>
          <w:bCs/>
          <w:color w:val="auto"/>
          <w:sz w:val="44"/>
          <w:szCs w:val="44"/>
        </w:rPr>
        <w:t>威海）</w:t>
      </w:r>
    </w:p>
    <w:p w14:paraId="34E81AD4">
      <w:pPr>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2026</w:t>
      </w:r>
      <w:bookmarkStart w:id="0" w:name="_GoBack"/>
      <w:bookmarkEnd w:id="0"/>
      <w:r>
        <w:rPr>
          <w:rFonts w:hint="eastAsia" w:ascii="宋体" w:hAnsi="宋体" w:eastAsia="宋体" w:cs="宋体"/>
          <w:b/>
          <w:bCs/>
          <w:color w:val="auto"/>
          <w:sz w:val="44"/>
          <w:szCs w:val="44"/>
          <w:lang w:val="en-US" w:eastAsia="zh-CN"/>
        </w:rPr>
        <w:t>年寒假</w:t>
      </w:r>
      <w:r>
        <w:rPr>
          <w:rFonts w:hint="eastAsia" w:ascii="宋体" w:hAnsi="宋体" w:eastAsia="宋体" w:cs="宋体"/>
          <w:b/>
          <w:bCs/>
          <w:color w:val="auto"/>
          <w:sz w:val="44"/>
          <w:szCs w:val="44"/>
        </w:rPr>
        <w:t>校级社会实践评分</w:t>
      </w:r>
      <w:r>
        <w:rPr>
          <w:rFonts w:hint="eastAsia" w:ascii="宋体" w:hAnsi="宋体" w:eastAsia="宋体" w:cs="宋体"/>
          <w:b/>
          <w:bCs/>
          <w:color w:val="auto"/>
          <w:sz w:val="44"/>
          <w:szCs w:val="44"/>
          <w:lang w:val="en-US" w:eastAsia="zh-CN"/>
        </w:rPr>
        <w:t>细则</w:t>
      </w:r>
    </w:p>
    <w:p w14:paraId="5D0D69B2">
      <w:pPr>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rPr>
          <w:rFonts w:hint="eastAsia" w:ascii="宋体" w:hAnsi="宋体" w:eastAsia="宋体" w:cs="宋体"/>
          <w:b/>
          <w:bCs/>
          <w:color w:val="auto"/>
          <w:sz w:val="44"/>
          <w:szCs w:val="44"/>
        </w:rPr>
      </w:pPr>
    </w:p>
    <w:p w14:paraId="6712ED2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rPr>
        <w:t>为激励学生在社会实践中提升综合能力，确保评选工作公正规范，特制定本社会实践重点项目评分细则。</w:t>
      </w:r>
      <w:r>
        <w:rPr>
          <w:rFonts w:hint="eastAsia" w:ascii="方正仿宋_GB2312" w:hAnsi="方正仿宋_GB2312" w:eastAsia="方正仿宋_GB2312" w:cs="方正仿宋_GB2312"/>
          <w:color w:val="auto"/>
          <w:sz w:val="28"/>
          <w:szCs w:val="28"/>
          <w:lang w:val="en-US" w:eastAsia="zh-CN"/>
        </w:rPr>
        <w:t>校区级</w:t>
      </w:r>
      <w:r>
        <w:rPr>
          <w:rFonts w:hint="eastAsia" w:ascii="方正仿宋_GB2312" w:hAnsi="方正仿宋_GB2312" w:eastAsia="方正仿宋_GB2312" w:cs="方正仿宋_GB2312"/>
          <w:color w:val="auto"/>
          <w:sz w:val="28"/>
          <w:szCs w:val="28"/>
          <w:highlight w:val="none"/>
        </w:rPr>
        <w:t>十佳团队与提名团队将分别获得3000元和1500元经费支持。</w:t>
      </w:r>
    </w:p>
    <w:p w14:paraId="140AAD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b/>
          <w:bCs/>
          <w:color w:val="auto"/>
          <w:sz w:val="32"/>
          <w:szCs w:val="32"/>
        </w:rPr>
      </w:pPr>
      <w:r>
        <w:rPr>
          <w:rFonts w:hint="eastAsia" w:ascii="黑体" w:hAnsi="黑体" w:eastAsia="黑体" w:cs="黑体"/>
          <w:b/>
          <w:bCs/>
          <w:color w:val="auto"/>
          <w:sz w:val="32"/>
          <w:szCs w:val="32"/>
        </w:rPr>
        <w:t>一、评选奖项</w:t>
      </w:r>
    </w:p>
    <w:p w14:paraId="5246EBD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rPr>
        <w:t>校区级社会实践评选出</w:t>
      </w:r>
      <w:r>
        <w:rPr>
          <w:rFonts w:hint="eastAsia" w:ascii="方正仿宋_GB2312" w:hAnsi="方正仿宋_GB2312" w:eastAsia="方正仿宋_GB2312" w:cs="方正仿宋_GB2312"/>
          <w:color w:val="auto"/>
          <w:sz w:val="28"/>
          <w:szCs w:val="28"/>
          <w:lang w:val="en-US" w:eastAsia="zh-CN"/>
        </w:rPr>
        <w:t>十佳团队及提名</w:t>
      </w:r>
      <w:r>
        <w:rPr>
          <w:rFonts w:hint="eastAsia" w:ascii="方正仿宋_GB2312" w:hAnsi="方正仿宋_GB2312" w:eastAsia="方正仿宋_GB2312" w:cs="方正仿宋_GB2312"/>
          <w:color w:val="auto"/>
          <w:sz w:val="28"/>
          <w:szCs w:val="28"/>
        </w:rPr>
        <w:t>、</w:t>
      </w:r>
      <w:r>
        <w:rPr>
          <w:rFonts w:hint="eastAsia" w:ascii="方正仿宋_GB2312" w:hAnsi="方正仿宋_GB2312" w:eastAsia="方正仿宋_GB2312" w:cs="方正仿宋_GB2312"/>
          <w:color w:val="auto"/>
          <w:sz w:val="28"/>
          <w:szCs w:val="28"/>
          <w:lang w:val="en-US" w:eastAsia="zh-CN"/>
        </w:rPr>
        <w:t>十佳</w:t>
      </w:r>
      <w:r>
        <w:rPr>
          <w:rFonts w:hint="eastAsia" w:ascii="方正仿宋_GB2312" w:hAnsi="方正仿宋_GB2312" w:eastAsia="方正仿宋_GB2312" w:cs="方正仿宋_GB2312"/>
          <w:color w:val="auto"/>
          <w:sz w:val="28"/>
          <w:szCs w:val="28"/>
        </w:rPr>
        <w:t>个人及</w:t>
      </w:r>
      <w:r>
        <w:rPr>
          <w:rFonts w:hint="eastAsia" w:ascii="方正仿宋_GB2312" w:hAnsi="方正仿宋_GB2312" w:eastAsia="方正仿宋_GB2312" w:cs="方正仿宋_GB2312"/>
          <w:color w:val="auto"/>
          <w:sz w:val="28"/>
          <w:szCs w:val="28"/>
          <w:lang w:val="en-US" w:eastAsia="zh-CN"/>
        </w:rPr>
        <w:t>提名、十佳指导教师及提名</w:t>
      </w:r>
      <w:r>
        <w:rPr>
          <w:rFonts w:hint="eastAsia" w:ascii="方正仿宋_GB2312" w:hAnsi="方正仿宋_GB2312" w:eastAsia="方正仿宋_GB2312" w:cs="方正仿宋_GB2312"/>
          <w:color w:val="auto"/>
          <w:sz w:val="28"/>
          <w:szCs w:val="28"/>
        </w:rPr>
        <w:t>。</w:t>
      </w:r>
    </w:p>
    <w:p w14:paraId="628A19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b/>
          <w:bCs/>
          <w:color w:val="auto"/>
          <w:sz w:val="32"/>
          <w:szCs w:val="32"/>
        </w:rPr>
      </w:pPr>
      <w:r>
        <w:rPr>
          <w:rFonts w:hint="eastAsia" w:ascii="黑体" w:hAnsi="黑体" w:eastAsia="黑体" w:cs="黑体"/>
          <w:b/>
          <w:bCs/>
          <w:color w:val="auto"/>
          <w:sz w:val="32"/>
          <w:szCs w:val="32"/>
        </w:rPr>
        <w:t>二、评分项目</w:t>
      </w:r>
      <w:r>
        <w:rPr>
          <w:rFonts w:hint="eastAsia" w:ascii="黑体" w:hAnsi="黑体" w:eastAsia="黑体" w:cs="黑体"/>
          <w:b/>
          <w:bCs/>
          <w:color w:val="auto"/>
          <w:sz w:val="32"/>
          <w:szCs w:val="32"/>
          <w:lang w:val="en-US" w:eastAsia="zh-CN"/>
        </w:rPr>
        <w:t>及</w:t>
      </w:r>
      <w:r>
        <w:rPr>
          <w:rFonts w:hint="eastAsia" w:ascii="黑体" w:hAnsi="黑体" w:eastAsia="黑体" w:cs="黑体"/>
          <w:b/>
          <w:bCs/>
          <w:color w:val="auto"/>
          <w:sz w:val="32"/>
          <w:szCs w:val="32"/>
        </w:rPr>
        <w:t>比例</w:t>
      </w:r>
    </w:p>
    <w:p w14:paraId="589B020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default" w:ascii="方正仿宋_GB2312" w:hAnsi="方正仿宋_GB2312" w:eastAsia="方正仿宋_GB2312" w:cs="方正仿宋_GB2312"/>
          <w:b/>
          <w:bCs/>
          <w:color w:val="auto"/>
          <w:sz w:val="32"/>
          <w:szCs w:val="32"/>
          <w:lang w:val="en-US" w:eastAsia="zh-CN"/>
        </w:rPr>
      </w:pPr>
      <w:r>
        <w:rPr>
          <w:rFonts w:hint="eastAsia" w:ascii="方正仿宋_GB2312" w:hAnsi="方正仿宋_GB2312" w:eastAsia="方正仿宋_GB2312" w:cs="方正仿宋_GB2312"/>
          <w:b/>
          <w:bCs/>
          <w:color w:val="auto"/>
          <w:sz w:val="32"/>
          <w:szCs w:val="32"/>
          <w:lang w:eastAsia="zh-CN"/>
        </w:rPr>
        <w:t>（</w:t>
      </w:r>
      <w:r>
        <w:rPr>
          <w:rFonts w:hint="eastAsia" w:ascii="方正仿宋_GB2312" w:hAnsi="方正仿宋_GB2312" w:eastAsia="方正仿宋_GB2312" w:cs="方正仿宋_GB2312"/>
          <w:b/>
          <w:bCs/>
          <w:color w:val="auto"/>
          <w:sz w:val="32"/>
          <w:szCs w:val="32"/>
        </w:rPr>
        <w:t>一）</w:t>
      </w:r>
      <w:r>
        <w:rPr>
          <w:rFonts w:hint="eastAsia" w:ascii="方正仿宋_GB2312" w:hAnsi="方正仿宋_GB2312" w:eastAsia="方正仿宋_GB2312" w:cs="方正仿宋_GB2312"/>
          <w:b/>
          <w:bCs/>
          <w:color w:val="auto"/>
          <w:sz w:val="32"/>
          <w:szCs w:val="32"/>
          <w:lang w:val="en-US" w:eastAsia="zh-CN"/>
        </w:rPr>
        <w:t>十佳团队（提名）</w:t>
      </w:r>
    </w:p>
    <w:p w14:paraId="3450F5D8">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default" w:ascii="方正仿宋_GB2312" w:hAnsi="方正仿宋_GB2312" w:eastAsia="方正仿宋_GB2312" w:cs="方正仿宋_GB2312"/>
          <w:b/>
          <w:bCs/>
          <w:color w:val="auto"/>
          <w:sz w:val="32"/>
          <w:szCs w:val="32"/>
          <w:lang w:val="en-US" w:eastAsia="zh-CN"/>
        </w:rPr>
      </w:pPr>
      <w:r>
        <w:rPr>
          <w:rFonts w:hint="eastAsia" w:ascii="方正仿宋_GB2312" w:hAnsi="方正仿宋_GB2312" w:eastAsia="方正仿宋_GB2312" w:cs="方正仿宋_GB2312"/>
          <w:b/>
          <w:bCs/>
          <w:color w:val="auto"/>
          <w:sz w:val="32"/>
          <w:szCs w:val="32"/>
        </w:rPr>
        <w:t>1、</w:t>
      </w:r>
      <w:r>
        <w:rPr>
          <w:rFonts w:hint="eastAsia" w:ascii="方正仿宋_GB2312" w:hAnsi="方正仿宋_GB2312" w:eastAsia="方正仿宋_GB2312" w:cs="方正仿宋_GB2312"/>
          <w:b/>
          <w:bCs/>
          <w:color w:val="auto"/>
          <w:sz w:val="32"/>
          <w:szCs w:val="32"/>
          <w:lang w:val="en-US" w:eastAsia="zh-CN"/>
        </w:rPr>
        <w:t>评审内容</w:t>
      </w:r>
    </w:p>
    <w:p w14:paraId="4756542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主要依据团队的三次过程总结、结项报告进行评审。</w:t>
      </w:r>
    </w:p>
    <w:p w14:paraId="04708F2D">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方正仿宋_GB2312" w:hAnsi="方正仿宋_GB2312" w:eastAsia="方正仿宋_GB2312" w:cs="方正仿宋_GB2312"/>
          <w:b/>
          <w:bCs/>
          <w:color w:val="auto"/>
          <w:sz w:val="32"/>
          <w:szCs w:val="32"/>
        </w:rPr>
      </w:pPr>
      <w:r>
        <w:rPr>
          <w:rFonts w:hint="eastAsia" w:ascii="方正仿宋_GB2312" w:hAnsi="方正仿宋_GB2312" w:eastAsia="方正仿宋_GB2312" w:cs="方正仿宋_GB2312"/>
          <w:b/>
          <w:bCs/>
          <w:color w:val="auto"/>
          <w:sz w:val="32"/>
          <w:szCs w:val="32"/>
          <w:lang w:val="en-US" w:eastAsia="zh-CN"/>
        </w:rPr>
        <w:t>2</w:t>
      </w:r>
      <w:r>
        <w:rPr>
          <w:rFonts w:hint="eastAsia" w:ascii="方正仿宋_GB2312" w:hAnsi="方正仿宋_GB2312" w:eastAsia="方正仿宋_GB2312" w:cs="方正仿宋_GB2312"/>
          <w:b/>
          <w:bCs/>
          <w:color w:val="auto"/>
          <w:sz w:val="32"/>
          <w:szCs w:val="32"/>
        </w:rPr>
        <w:t>、附加分</w:t>
      </w:r>
      <w:r>
        <w:rPr>
          <w:rFonts w:hint="eastAsia" w:ascii="方正仿宋_GB2312" w:hAnsi="方正仿宋_GB2312" w:eastAsia="方正仿宋_GB2312" w:cs="方正仿宋_GB2312"/>
          <w:b/>
          <w:bCs/>
          <w:color w:val="auto"/>
          <w:sz w:val="32"/>
          <w:szCs w:val="32"/>
          <w:lang w:eastAsia="zh-CN"/>
        </w:rPr>
        <w:t>（</w:t>
      </w:r>
      <w:r>
        <w:rPr>
          <w:rFonts w:hint="eastAsia" w:ascii="方正仿宋_GB2312" w:hAnsi="方正仿宋_GB2312" w:eastAsia="方正仿宋_GB2312" w:cs="方正仿宋_GB2312"/>
          <w:b/>
          <w:bCs/>
          <w:color w:val="auto"/>
          <w:sz w:val="32"/>
          <w:szCs w:val="32"/>
        </w:rPr>
        <w:t>5分）</w:t>
      </w:r>
    </w:p>
    <w:p w14:paraId="6C94F316">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方正仿宋_GB2312" w:hAnsi="方正仿宋_GB2312" w:eastAsia="方正仿宋_GB2312" w:cs="方正仿宋_GB2312"/>
          <w:b/>
          <w:bCs/>
          <w:color w:val="auto"/>
          <w:sz w:val="28"/>
          <w:szCs w:val="28"/>
          <w:lang w:val="en-US" w:eastAsia="zh-CN"/>
        </w:rPr>
      </w:pPr>
      <w:r>
        <w:rPr>
          <w:rFonts w:hint="eastAsia" w:ascii="方正仿宋_GB2312" w:hAnsi="方正仿宋_GB2312" w:eastAsia="方正仿宋_GB2312" w:cs="方正仿宋_GB2312"/>
          <w:b/>
          <w:bCs/>
          <w:color w:val="auto"/>
          <w:sz w:val="28"/>
          <w:szCs w:val="28"/>
          <w:lang w:val="en-US" w:eastAsia="zh-CN"/>
        </w:rPr>
        <w:t>（1）媒体发布</w:t>
      </w:r>
    </w:p>
    <w:p w14:paraId="0987C50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bCs/>
          <w:color w:val="auto"/>
          <w:sz w:val="24"/>
          <w:szCs w:val="24"/>
        </w:rPr>
      </w:pPr>
      <w:r>
        <w:rPr>
          <w:rFonts w:hint="eastAsia" w:ascii="方正仿宋_GB2312" w:hAnsi="方正仿宋_GB2312" w:eastAsia="方正仿宋_GB2312" w:cs="方正仿宋_GB2312"/>
          <w:color w:val="auto"/>
          <w:sz w:val="28"/>
          <w:szCs w:val="28"/>
          <w:lang w:val="en-US" w:eastAsia="zh-CN"/>
        </w:rPr>
        <w:t>队伍在实践过程中进行新闻宣传，内容可以包括但不限于：社交媒体发布、学校新闻报道、活动记录等，要求体现实践活动的社会价值和团队精神。新闻宣传相关内容加分上限为3分。</w:t>
      </w:r>
    </w:p>
    <w:p w14:paraId="2F0A171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A.人民日报、新华社、中央人民广播电台、求是杂志、解放军报、光明日报、经济日报、中国日报、中央电视台、中国日报网、中国青年网等国家级媒体纸质报刊等国家级新闻单位媒体纸质报刊及新闻网站发布内容，每项加2分。</w:t>
      </w:r>
    </w:p>
    <w:p w14:paraId="6D5FE87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B.大众日报、齐鲁晚报、鲁中晨报、大众网、齐鲁网、中共山东网、鲁网等省级新闻单位媒体纸质报刊及新闻网站发布内容，每项加1分。</w:t>
      </w:r>
    </w:p>
    <w:p w14:paraId="10683B3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C.威海市广播电视台、威海传媒网、威海新闻网等市级新闻单位媒体纸质报刊及新闻网站发布内容，每项加0.5分，上限1分。</w:t>
      </w:r>
    </w:p>
    <w:p w14:paraId="6BFAEA8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D.在校区官微发布推送，加0.3分；在校区团委官微发布推送，加0.2分，在学院微信公众号、QQ空间、知乎、百度、百家号、微博、抖音等平台发布内容，1条加分0.05分，上限0.5分。</w:t>
      </w:r>
    </w:p>
    <w:p w14:paraId="1ED4F3C0">
      <w:pPr>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详细媒体名单以中国网信网发布信息为准：https://www.cac.gov.cn/2021-10/18/c_1636153133379560.htm。转载文章均以“来源网站”媒体名称为准。</w:t>
      </w:r>
    </w:p>
    <w:p w14:paraId="6698643F">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default" w:ascii="方正仿宋_GB2312" w:hAnsi="方正仿宋_GB2312" w:eastAsia="方正仿宋_GB2312" w:cs="方正仿宋_GB2312"/>
          <w:b/>
          <w:bCs/>
          <w:color w:val="auto"/>
          <w:sz w:val="32"/>
          <w:szCs w:val="32"/>
          <w:lang w:val="en-US" w:eastAsia="zh-CN"/>
        </w:rPr>
      </w:pPr>
      <w:r>
        <w:rPr>
          <w:rFonts w:hint="eastAsia" w:ascii="方正仿宋_GB2312" w:hAnsi="方正仿宋_GB2312" w:eastAsia="方正仿宋_GB2312" w:cs="方正仿宋_GB2312"/>
          <w:b/>
          <w:bCs/>
          <w:color w:val="auto"/>
          <w:sz w:val="32"/>
          <w:szCs w:val="32"/>
          <w:lang w:eastAsia="zh-CN"/>
        </w:rPr>
        <w:t>（</w:t>
      </w:r>
      <w:r>
        <w:rPr>
          <w:rFonts w:hint="eastAsia" w:ascii="方正仿宋_GB2312" w:hAnsi="方正仿宋_GB2312" w:eastAsia="方正仿宋_GB2312" w:cs="方正仿宋_GB2312"/>
          <w:b/>
          <w:bCs/>
          <w:color w:val="auto"/>
          <w:sz w:val="32"/>
          <w:szCs w:val="32"/>
          <w:lang w:val="en-US" w:eastAsia="zh-CN"/>
        </w:rPr>
        <w:t>二）十佳个人（提名）</w:t>
      </w:r>
    </w:p>
    <w:p w14:paraId="2822BBE5">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default" w:ascii="方正仿宋_GB2312" w:hAnsi="方正仿宋_GB2312" w:eastAsia="方正仿宋_GB2312" w:cs="方正仿宋_GB2312"/>
          <w:b/>
          <w:bCs/>
          <w:color w:val="auto"/>
          <w:sz w:val="32"/>
          <w:szCs w:val="32"/>
          <w:lang w:val="en-US" w:eastAsia="zh-CN"/>
        </w:rPr>
      </w:pPr>
      <w:r>
        <w:rPr>
          <w:rFonts w:hint="eastAsia" w:ascii="方正仿宋_GB2312" w:hAnsi="方正仿宋_GB2312" w:eastAsia="方正仿宋_GB2312" w:cs="方正仿宋_GB2312"/>
          <w:b/>
          <w:bCs/>
          <w:color w:val="auto"/>
          <w:sz w:val="32"/>
          <w:szCs w:val="32"/>
        </w:rPr>
        <w:t>1、</w:t>
      </w:r>
      <w:r>
        <w:rPr>
          <w:rFonts w:hint="eastAsia" w:ascii="方正仿宋_GB2312" w:hAnsi="方正仿宋_GB2312" w:eastAsia="方正仿宋_GB2312" w:cs="方正仿宋_GB2312"/>
          <w:b/>
          <w:bCs/>
          <w:color w:val="auto"/>
          <w:sz w:val="32"/>
          <w:szCs w:val="32"/>
          <w:lang w:val="en-US" w:eastAsia="zh-CN"/>
        </w:rPr>
        <w:t>评审内容</w:t>
      </w:r>
    </w:p>
    <w:p w14:paraId="7726B94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主要依据个人申报表进行评审。</w:t>
      </w:r>
    </w:p>
    <w:p w14:paraId="0B7A72B0">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default" w:ascii="方正仿宋_GB2312" w:hAnsi="方正仿宋_GB2312" w:eastAsia="方正仿宋_GB2312" w:cs="方正仿宋_GB2312"/>
          <w:b/>
          <w:bCs/>
          <w:color w:val="auto"/>
          <w:sz w:val="32"/>
          <w:szCs w:val="32"/>
          <w:lang w:val="en-US" w:eastAsia="zh-CN"/>
        </w:rPr>
      </w:pPr>
      <w:r>
        <w:rPr>
          <w:rFonts w:hint="eastAsia" w:ascii="方正仿宋_GB2312" w:hAnsi="方正仿宋_GB2312" w:eastAsia="方正仿宋_GB2312" w:cs="方正仿宋_GB2312"/>
          <w:b/>
          <w:bCs/>
          <w:color w:val="auto"/>
          <w:sz w:val="32"/>
          <w:szCs w:val="32"/>
          <w:lang w:val="en-US" w:eastAsia="zh-CN"/>
        </w:rPr>
        <w:t>3</w:t>
      </w:r>
      <w:r>
        <w:rPr>
          <w:rFonts w:hint="eastAsia" w:ascii="方正仿宋_GB2312" w:hAnsi="方正仿宋_GB2312" w:eastAsia="方正仿宋_GB2312" w:cs="方正仿宋_GB2312"/>
          <w:b/>
          <w:bCs/>
          <w:color w:val="auto"/>
          <w:sz w:val="32"/>
          <w:szCs w:val="32"/>
        </w:rPr>
        <w:t>.附加分</w:t>
      </w:r>
      <w:r>
        <w:rPr>
          <w:rFonts w:hint="eastAsia" w:ascii="方正仿宋_GB2312" w:hAnsi="方正仿宋_GB2312" w:eastAsia="方正仿宋_GB2312" w:cs="方正仿宋_GB2312"/>
          <w:b/>
          <w:bCs/>
          <w:color w:val="auto"/>
          <w:sz w:val="32"/>
          <w:szCs w:val="32"/>
          <w:lang w:eastAsia="zh-CN"/>
        </w:rPr>
        <w:t>（</w:t>
      </w:r>
      <w:r>
        <w:rPr>
          <w:rFonts w:hint="eastAsia" w:ascii="方正仿宋_GB2312" w:hAnsi="方正仿宋_GB2312" w:eastAsia="方正仿宋_GB2312" w:cs="方正仿宋_GB2312"/>
          <w:b/>
          <w:bCs/>
          <w:color w:val="auto"/>
          <w:sz w:val="32"/>
          <w:szCs w:val="32"/>
          <w:lang w:val="en-US" w:eastAsia="zh-CN"/>
        </w:rPr>
        <w:t>3.4分）</w:t>
      </w:r>
    </w:p>
    <w:p w14:paraId="63DB647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bCs/>
          <w:color w:val="auto"/>
          <w:sz w:val="24"/>
          <w:szCs w:val="24"/>
        </w:rPr>
      </w:pPr>
      <w:r>
        <w:rPr>
          <w:rFonts w:hint="eastAsia" w:ascii="方正仿宋_GB2312" w:hAnsi="方正仿宋_GB2312" w:eastAsia="方正仿宋_GB2312" w:cs="方正仿宋_GB2312"/>
          <w:color w:val="auto"/>
          <w:sz w:val="28"/>
          <w:szCs w:val="28"/>
          <w:lang w:val="en-US" w:eastAsia="zh-CN"/>
        </w:rPr>
        <w:t>附加分包含媒体发布与团队获奖加分两项。</w:t>
      </w:r>
    </w:p>
    <w:p w14:paraId="41548B1E">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方正仿宋_GB2312" w:hAnsi="方正仿宋_GB2312" w:eastAsia="方正仿宋_GB2312" w:cs="方正仿宋_GB2312"/>
          <w:b/>
          <w:bCs/>
          <w:color w:val="auto"/>
          <w:sz w:val="28"/>
          <w:szCs w:val="28"/>
          <w:lang w:val="en-US" w:eastAsia="zh-CN"/>
        </w:rPr>
      </w:pPr>
      <w:r>
        <w:rPr>
          <w:rFonts w:hint="eastAsia" w:ascii="方正仿宋_GB2312" w:hAnsi="方正仿宋_GB2312" w:eastAsia="方正仿宋_GB2312" w:cs="方正仿宋_GB2312"/>
          <w:b/>
          <w:bCs/>
          <w:color w:val="auto"/>
          <w:sz w:val="28"/>
          <w:szCs w:val="28"/>
          <w:lang w:val="en-US" w:eastAsia="zh-CN"/>
        </w:rPr>
        <w:t>（1）媒体发布（2分）</w:t>
      </w:r>
    </w:p>
    <w:p w14:paraId="447BA8C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个人在实践过程中进行新闻宣传，内容可以包括但不限于：社交媒体发布、学校新闻报道、活动记录等，要求体现个人对实践活动或实践团队做出的贡献，需为个人专访类报道。新闻宣传相关内容加分上限为2分。</w:t>
      </w:r>
    </w:p>
    <w:p w14:paraId="0C96077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A.人民日报、新华社、中央人民广播电台、求是杂志、解放军报、光明日报、经济日报、中国日报、中央电视台、中国日报网、中国青年网等国家级媒体纸质报刊等国家级新闻单位媒体纸质报刊及新闻网站发布内容，每项加2分。</w:t>
      </w:r>
    </w:p>
    <w:p w14:paraId="2B92A2A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B.大众日报、齐鲁晚报、鲁中晨报、大众网、齐鲁网、中共山东网、鲁网等省级新闻单位媒体纸质报刊及新闻网站发布内容，每项加1分。</w:t>
      </w:r>
    </w:p>
    <w:p w14:paraId="6782335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C.威海市广播电视台、威海传媒网、威海新闻网等市级新闻单位媒体纸质报刊及新闻网站发布内容，每项加0.5分，上限1分。</w:t>
      </w:r>
    </w:p>
    <w:p w14:paraId="457B2DC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详细媒体名单以中国网信网发布信息为准：</w:t>
      </w:r>
    </w:p>
    <w:p w14:paraId="24500F7D">
      <w:pPr>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fldChar w:fldCharType="begin"/>
      </w:r>
      <w:r>
        <w:rPr>
          <w:rFonts w:hint="eastAsia" w:ascii="方正仿宋_GB2312" w:hAnsi="方正仿宋_GB2312" w:eastAsia="方正仿宋_GB2312" w:cs="方正仿宋_GB2312"/>
          <w:color w:val="auto"/>
          <w:sz w:val="28"/>
          <w:szCs w:val="28"/>
          <w:lang w:val="en-US" w:eastAsia="zh-CN"/>
        </w:rPr>
        <w:instrText xml:space="preserve"> HYPERLINK "https://www.cac.gov.cn/2021-10/18/c_1636153133379560.htm" </w:instrText>
      </w:r>
      <w:r>
        <w:rPr>
          <w:rFonts w:hint="eastAsia" w:ascii="方正仿宋_GB2312" w:hAnsi="方正仿宋_GB2312" w:eastAsia="方正仿宋_GB2312" w:cs="方正仿宋_GB2312"/>
          <w:color w:val="auto"/>
          <w:sz w:val="28"/>
          <w:szCs w:val="28"/>
          <w:lang w:val="en-US" w:eastAsia="zh-CN"/>
        </w:rPr>
        <w:fldChar w:fldCharType="separate"/>
      </w:r>
      <w:r>
        <w:rPr>
          <w:rFonts w:hint="eastAsia" w:ascii="方正仿宋_GB2312" w:hAnsi="方正仿宋_GB2312" w:eastAsia="方正仿宋_GB2312" w:cs="方正仿宋_GB2312"/>
          <w:color w:val="auto"/>
          <w:sz w:val="28"/>
          <w:szCs w:val="28"/>
          <w:lang w:val="en-US" w:eastAsia="zh-CN"/>
        </w:rPr>
        <w:t>https://www.cac.gov.cn/2021-10/18/c_1636153133379560.htm</w:t>
      </w:r>
      <w:r>
        <w:rPr>
          <w:rFonts w:hint="eastAsia" w:ascii="方正仿宋_GB2312" w:hAnsi="方正仿宋_GB2312" w:eastAsia="方正仿宋_GB2312" w:cs="方正仿宋_GB2312"/>
          <w:color w:val="auto"/>
          <w:sz w:val="28"/>
          <w:szCs w:val="28"/>
          <w:lang w:val="en-US" w:eastAsia="zh-CN"/>
        </w:rPr>
        <w:fldChar w:fldCharType="end"/>
      </w:r>
      <w:r>
        <w:rPr>
          <w:rFonts w:hint="eastAsia" w:ascii="方正仿宋_GB2312" w:hAnsi="方正仿宋_GB2312" w:eastAsia="方正仿宋_GB2312" w:cs="方正仿宋_GB2312"/>
          <w:color w:val="auto"/>
          <w:sz w:val="28"/>
          <w:szCs w:val="28"/>
          <w:lang w:val="en-US" w:eastAsia="zh-CN"/>
        </w:rPr>
        <w:t>。转载文章均以“来源网站”媒体名称为准。</w:t>
      </w:r>
    </w:p>
    <w:p w14:paraId="5549C31A">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方正仿宋_GB2312" w:hAnsi="方正仿宋_GB2312" w:eastAsia="方正仿宋_GB2312" w:cs="方正仿宋_GB2312"/>
          <w:b/>
          <w:bCs/>
          <w:color w:val="auto"/>
          <w:sz w:val="28"/>
          <w:szCs w:val="28"/>
          <w:lang w:val="en-US" w:eastAsia="zh-CN"/>
        </w:rPr>
      </w:pPr>
      <w:r>
        <w:rPr>
          <w:rFonts w:hint="eastAsia" w:ascii="方正仿宋_GB2312" w:hAnsi="方正仿宋_GB2312" w:eastAsia="方正仿宋_GB2312" w:cs="方正仿宋_GB2312"/>
          <w:b/>
          <w:bCs/>
          <w:color w:val="auto"/>
          <w:sz w:val="28"/>
          <w:szCs w:val="28"/>
          <w:lang w:val="en-US" w:eastAsia="zh-CN"/>
        </w:rPr>
        <w:t>（2）团队获奖加分（1.4分）</w:t>
      </w:r>
    </w:p>
    <w:p w14:paraId="2D3DDA3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个人所在团队获奖，根据职责不同，给予相应加分。团队获奖相关内容加分上限为1.4分。</w:t>
      </w:r>
    </w:p>
    <w:p w14:paraId="0E1B089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获得寒假社会实践十佳团队荣誉的团队，队长加1.4分；组长加0.7分，队员加0.35分；获得寒假社会实践十佳团队（提名）荣誉的团队，队长加0.84分，组长加0.49分，队员加0.21分。</w:t>
      </w:r>
    </w:p>
    <w:p w14:paraId="307D41D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若一名学生同时参与多个团队，其在该周期所获荣誉加分以最高分值为准，不予累加。</w:t>
      </w:r>
    </w:p>
    <w:p w14:paraId="26A8822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团队规模以最终结项材料中经审核确认的成员名单为准，其职务结构设定如下：1至29人的团队：至多设1名队长、3名组长；30人及以上的团队：至多设2名队长、6名组长。具体加分名单将由结项材料进行确定，不得随意增添更改。</w:t>
      </w:r>
    </w:p>
    <w:p w14:paraId="7AE6F178">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default" w:ascii="方正仿宋_GB2312" w:hAnsi="方正仿宋_GB2312" w:eastAsia="方正仿宋_GB2312" w:cs="方正仿宋_GB2312"/>
          <w:b/>
          <w:bCs/>
          <w:color w:val="auto"/>
          <w:sz w:val="32"/>
          <w:szCs w:val="32"/>
          <w:lang w:val="en-US" w:eastAsia="zh-CN"/>
        </w:rPr>
      </w:pPr>
      <w:r>
        <w:rPr>
          <w:rFonts w:hint="eastAsia" w:ascii="方正仿宋_GB2312" w:hAnsi="方正仿宋_GB2312" w:eastAsia="方正仿宋_GB2312" w:cs="方正仿宋_GB2312"/>
          <w:b/>
          <w:bCs/>
          <w:color w:val="auto"/>
          <w:sz w:val="32"/>
          <w:szCs w:val="32"/>
          <w:lang w:eastAsia="zh-CN"/>
        </w:rPr>
        <w:t>（</w:t>
      </w:r>
      <w:r>
        <w:rPr>
          <w:rFonts w:hint="eastAsia" w:ascii="方正仿宋_GB2312" w:hAnsi="方正仿宋_GB2312" w:eastAsia="方正仿宋_GB2312" w:cs="方正仿宋_GB2312"/>
          <w:b/>
          <w:bCs/>
          <w:color w:val="auto"/>
          <w:sz w:val="32"/>
          <w:szCs w:val="32"/>
        </w:rPr>
        <w:t>三）</w:t>
      </w:r>
      <w:r>
        <w:rPr>
          <w:rFonts w:hint="eastAsia" w:ascii="方正仿宋_GB2312" w:hAnsi="方正仿宋_GB2312" w:eastAsia="方正仿宋_GB2312" w:cs="方正仿宋_GB2312"/>
          <w:b/>
          <w:bCs/>
          <w:color w:val="auto"/>
          <w:sz w:val="32"/>
          <w:szCs w:val="32"/>
          <w:lang w:val="en-US" w:eastAsia="zh-CN"/>
        </w:rPr>
        <w:t>十佳指导教师（提名）</w:t>
      </w:r>
    </w:p>
    <w:p w14:paraId="7D94331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依据十佳团队与十佳团队（提名）评选结果确定。一位教师如指导多个团队，则以其所指导团队获得的最高奖项为准，不重复授予。如出现名额空缺，将按评选排名依次顺延。</w:t>
      </w:r>
    </w:p>
    <w:p w14:paraId="1EAAFBE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三、评审委员会</w:t>
      </w:r>
    </w:p>
    <w:p w14:paraId="6E6C888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本评选工作设立评审委员会，全面负责评审工作的组织实施。委员会由校区团委牵头，成员包括各学院（书院）党委副书记、学院（书院）团委书记、教师代表等。评审委员会负责制定评审标准、组织材料函评与现场评比、审议评定结果，并对评选全过程进行监督。</w:t>
      </w:r>
    </w:p>
    <w:p w14:paraId="303C33B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p>
    <w:p w14:paraId="422535E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p>
    <w:p w14:paraId="1B65726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方正仿宋_GB2312" w:hAnsi="方正仿宋_GB2312" w:eastAsia="方正仿宋_GB2312" w:cs="方正仿宋_GB2312"/>
          <w:color w:val="auto"/>
          <w:sz w:val="28"/>
          <w:szCs w:val="28"/>
          <w:lang w:val="en-US" w:eastAsia="zh-CN"/>
        </w:rPr>
      </w:pPr>
    </w:p>
    <w:p w14:paraId="4BAC96F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rPr>
          <w:rFonts w:hint="eastAsia" w:ascii="方正仿宋_GB2312" w:hAnsi="方正仿宋_GB2312" w:eastAsia="方正仿宋_GB2312" w:cs="方正仿宋_GB2312"/>
          <w:color w:val="auto"/>
          <w:sz w:val="28"/>
          <w:szCs w:val="28"/>
          <w:lang w:val="en-US" w:eastAsia="zh-CN"/>
        </w:rPr>
      </w:pPr>
      <w:r>
        <w:rPr>
          <w:rFonts w:hint="eastAsia" w:ascii="方正仿宋_GB2312" w:hAnsi="方正仿宋_GB2312" w:eastAsia="方正仿宋_GB2312" w:cs="方正仿宋_GB2312"/>
          <w:color w:val="auto"/>
          <w:sz w:val="28"/>
          <w:szCs w:val="28"/>
          <w:lang w:val="en-US" w:eastAsia="zh-CN"/>
        </w:rPr>
        <w:t>共青团哈尔滨工业大学（威海）委员会</w:t>
      </w:r>
    </w:p>
    <w:p w14:paraId="3B48197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rPr>
          <w:rFonts w:hint="default"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2026年3月7日</w:t>
      </w:r>
    </w:p>
    <w:p w14:paraId="76432027">
      <w:pPr>
        <w:rPr>
          <w:rFonts w:hint="default"/>
          <w:color w:val="auto"/>
          <w:lang w:eastAsia="zh-CN"/>
        </w:rPr>
      </w:pPr>
    </w:p>
    <w:p w14:paraId="5177A05C">
      <w:pPr>
        <w:rPr>
          <w:rFonts w:hint="default"/>
          <w:color w:val="auto"/>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515B486-4547-4F6B-8B4A-10CCDEB8E9F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embedRegular r:id="rId2" w:fontKey="{DFA67440-F0DC-4E01-8F2D-1002A8BEC3F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embedTrueTypeFonts/>
  <w:saveSubsetFonts/>
  <w:bordersDoNotSurroundHeader w:val="0"/>
  <w:bordersDoNotSurroundFooter w:val="0"/>
  <w:attachedTemplate r:id="rId1"/>
  <w:documentProtection w:enforcement="0"/>
  <w:defaultTabStop w:val="420"/>
  <w:drawingGridHorizontalSpacing w:val="210"/>
  <w:drawingGridVerticalSpacing w:val="194"/>
  <w:displayHorizontalDrawingGridEvery w:val="1"/>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1E13897"/>
    <w:rsid w:val="03C3322B"/>
    <w:rsid w:val="07011CC2"/>
    <w:rsid w:val="07644792"/>
    <w:rsid w:val="09284798"/>
    <w:rsid w:val="0F2B6FD9"/>
    <w:rsid w:val="14812B5E"/>
    <w:rsid w:val="183C240D"/>
    <w:rsid w:val="1AA24D9F"/>
    <w:rsid w:val="1D351F43"/>
    <w:rsid w:val="28DA2E89"/>
    <w:rsid w:val="2A4254F9"/>
    <w:rsid w:val="2B35697B"/>
    <w:rsid w:val="2D1F32F4"/>
    <w:rsid w:val="31D65E3F"/>
    <w:rsid w:val="323B4D81"/>
    <w:rsid w:val="34B70380"/>
    <w:rsid w:val="37AA47C8"/>
    <w:rsid w:val="3AE174A3"/>
    <w:rsid w:val="3D512F8C"/>
    <w:rsid w:val="43446334"/>
    <w:rsid w:val="44A84E71"/>
    <w:rsid w:val="477DCE1E"/>
    <w:rsid w:val="49B91284"/>
    <w:rsid w:val="4F4F373F"/>
    <w:rsid w:val="573E1E21"/>
    <w:rsid w:val="5B487E91"/>
    <w:rsid w:val="5CF9550F"/>
    <w:rsid w:val="5EFEBDE8"/>
    <w:rsid w:val="68CA2609"/>
    <w:rsid w:val="68CC1AED"/>
    <w:rsid w:val="69BB0F42"/>
    <w:rsid w:val="6A637494"/>
    <w:rsid w:val="6BCF62E6"/>
    <w:rsid w:val="6CD3A16D"/>
    <w:rsid w:val="6D535020"/>
    <w:rsid w:val="6E5F49A6"/>
    <w:rsid w:val="6FFF37D2"/>
    <w:rsid w:val="70371407"/>
    <w:rsid w:val="70DE2EF1"/>
    <w:rsid w:val="7C5F4108"/>
    <w:rsid w:val="7F79C282"/>
    <w:rsid w:val="7F7B6CAE"/>
    <w:rsid w:val="7FBF6DD0"/>
    <w:rsid w:val="7FCD17FE"/>
    <w:rsid w:val="7FD7E9A0"/>
    <w:rsid w:val="7FE9FBB2"/>
    <w:rsid w:val="8FFFA67E"/>
    <w:rsid w:val="A97F623E"/>
    <w:rsid w:val="AFBF8780"/>
    <w:rsid w:val="BEEFCB4B"/>
    <w:rsid w:val="BFE6F841"/>
    <w:rsid w:val="D5DE8897"/>
    <w:rsid w:val="E7FE3684"/>
    <w:rsid w:val="EFFF70E4"/>
    <w:rsid w:val="F7EEC240"/>
    <w:rsid w:val="FBF75102"/>
    <w:rsid w:val="FDDC5620"/>
    <w:rsid w:val="FDEA700A"/>
    <w:rsid w:val="FFBFCE4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微软雅黑" w:cs="Times New Roman"/>
      <w:kern w:val="2"/>
      <w:sz w:val="21"/>
      <w:szCs w:val="24"/>
      <w:lang w:val="en-US" w:eastAsia="zh-CN" w:bidi="ar-SA"/>
    </w:rPr>
  </w:style>
  <w:style w:type="paragraph" w:styleId="2">
    <w:name w:val="heading 1"/>
    <w:basedOn w:val="1"/>
    <w:next w:val="1"/>
    <w:qFormat/>
    <w:uiPriority w:val="0"/>
    <w:pPr>
      <w:keepNext/>
      <w:keepLines/>
      <w:spacing w:before="260" w:beforeLines="0" w:beforeAutospacing="0" w:after="220" w:afterLines="0" w:afterAutospacing="0" w:line="240" w:lineRule="auto"/>
      <w:outlineLvl w:val="0"/>
    </w:pPr>
    <w:rPr>
      <w:rFonts w:ascii="Arial" w:hAnsi="Arial"/>
      <w:b/>
      <w:kern w:val="44"/>
      <w:sz w:val="36"/>
    </w:rPr>
  </w:style>
  <w:style w:type="paragraph" w:styleId="3">
    <w:name w:val="heading 2"/>
    <w:basedOn w:val="1"/>
    <w:next w:val="1"/>
    <w:unhideWhenUsed/>
    <w:qFormat/>
    <w:uiPriority w:val="0"/>
    <w:pPr>
      <w:keepNext/>
      <w:keepLines/>
      <w:spacing w:before="260" w:beforeLines="0" w:beforeAutospacing="0" w:after="200" w:afterLines="0" w:afterAutospacing="0" w:line="240" w:lineRule="auto"/>
      <w:outlineLvl w:val="1"/>
    </w:pPr>
    <w:rPr>
      <w:rFonts w:ascii="Arial" w:hAnsi="Arial"/>
      <w:b/>
      <w:sz w:val="32"/>
    </w:rPr>
  </w:style>
  <w:style w:type="paragraph" w:styleId="4">
    <w:name w:val="heading 3"/>
    <w:basedOn w:val="1"/>
    <w:next w:val="1"/>
    <w:unhideWhenUsed/>
    <w:qFormat/>
    <w:uiPriority w:val="0"/>
    <w:pPr>
      <w:keepNext/>
      <w:keepLines/>
      <w:spacing w:before="260" w:beforeLines="0" w:beforeAutospacing="0" w:after="180" w:afterLines="0" w:afterAutospacing="0" w:line="240" w:lineRule="auto"/>
      <w:outlineLvl w:val="2"/>
    </w:pPr>
    <w:rPr>
      <w:rFonts w:ascii="Arial" w:hAnsi="Arial"/>
      <w:b/>
      <w:sz w:val="30"/>
    </w:rPr>
  </w:style>
  <w:style w:type="paragraph" w:styleId="5">
    <w:name w:val="heading 4"/>
    <w:basedOn w:val="1"/>
    <w:next w:val="1"/>
    <w:unhideWhenUsed/>
    <w:qFormat/>
    <w:uiPriority w:val="0"/>
    <w:pPr>
      <w:keepNext/>
      <w:keepLines/>
      <w:spacing w:before="240" w:beforeLines="0" w:beforeAutospacing="0" w:after="160" w:afterLines="0" w:afterAutospacing="0" w:line="240" w:lineRule="auto"/>
      <w:outlineLvl w:val="3"/>
    </w:pPr>
    <w:rPr>
      <w:rFonts w:ascii="Arial" w:hAnsi="Arial"/>
      <w:b/>
      <w:sz w:val="28"/>
    </w:rPr>
  </w:style>
  <w:style w:type="paragraph" w:styleId="6">
    <w:name w:val="heading 5"/>
    <w:basedOn w:val="1"/>
    <w:next w:val="1"/>
    <w:unhideWhenUsed/>
    <w:qFormat/>
    <w:uiPriority w:val="0"/>
    <w:pPr>
      <w:keepNext/>
      <w:keepLines/>
      <w:spacing w:before="240" w:beforeLines="0" w:beforeAutospacing="0" w:after="160" w:afterLines="0" w:afterAutospacing="0" w:line="240" w:lineRule="auto"/>
      <w:outlineLvl w:val="4"/>
    </w:pPr>
    <w:rPr>
      <w:rFonts w:ascii="Arial" w:hAnsi="Arial"/>
      <w:b/>
      <w:sz w:val="28"/>
    </w:rPr>
  </w:style>
  <w:style w:type="paragraph" w:styleId="7">
    <w:name w:val="heading 6"/>
    <w:basedOn w:val="1"/>
    <w:next w:val="1"/>
    <w:unhideWhenUsed/>
    <w:qFormat/>
    <w:uiPriority w:val="0"/>
    <w:pPr>
      <w:keepNext/>
      <w:keepLines/>
      <w:spacing w:before="240" w:beforeLines="0" w:beforeAutospacing="0" w:after="120" w:afterLines="0" w:afterAutospacing="0" w:line="240" w:lineRule="auto"/>
      <w:outlineLvl w:val="5"/>
    </w:pPr>
    <w:rPr>
      <w:rFonts w:ascii="Arial" w:hAnsi="Arial"/>
      <w:b/>
      <w:sz w:val="24"/>
    </w:rPr>
  </w:style>
  <w:style w:type="paragraph" w:styleId="8">
    <w:name w:val="heading 7"/>
    <w:basedOn w:val="1"/>
    <w:next w:val="1"/>
    <w:unhideWhenUsed/>
    <w:qFormat/>
    <w:uiPriority w:val="0"/>
    <w:pPr>
      <w:keepNext/>
      <w:keepLines/>
      <w:spacing w:before="240" w:beforeLines="0" w:beforeAutospacing="0" w:after="120" w:afterLines="0" w:afterAutospacing="0" w:line="240" w:lineRule="auto"/>
      <w:outlineLvl w:val="6"/>
    </w:pPr>
    <w:rPr>
      <w:rFonts w:ascii="Arial" w:hAnsi="Arial"/>
      <w:b/>
      <w:sz w:val="24"/>
    </w:rPr>
  </w:style>
  <w:style w:type="paragraph" w:styleId="9">
    <w:name w:val="heading 8"/>
    <w:basedOn w:val="1"/>
    <w:next w:val="1"/>
    <w:unhideWhenUsed/>
    <w:qFormat/>
    <w:uiPriority w:val="0"/>
    <w:pPr>
      <w:keepNext/>
      <w:keepLines/>
      <w:spacing w:before="180" w:beforeLines="0" w:beforeAutospacing="0" w:after="64" w:afterLines="0" w:afterAutospacing="0" w:line="240" w:lineRule="auto"/>
      <w:outlineLvl w:val="7"/>
    </w:pPr>
    <w:rPr>
      <w:rFonts w:ascii="Arial" w:hAnsi="Arial"/>
      <w:sz w:val="24"/>
    </w:rPr>
  </w:style>
  <w:style w:type="paragraph" w:styleId="10">
    <w:name w:val="heading 9"/>
    <w:basedOn w:val="1"/>
    <w:next w:val="1"/>
    <w:unhideWhenUsed/>
    <w:qFormat/>
    <w:uiPriority w:val="0"/>
    <w:pPr>
      <w:keepNext/>
      <w:keepLines/>
      <w:spacing w:before="180" w:beforeLines="0" w:beforeAutospacing="0" w:after="64" w:afterLines="0" w:afterAutospacing="0" w:line="240" w:lineRule="auto"/>
      <w:outlineLvl w:val="8"/>
    </w:pPr>
    <w:rPr>
      <w:rFonts w:ascii="Arial" w:hAnsi="Arial"/>
    </w:rPr>
  </w:style>
  <w:style w:type="character" w:default="1" w:styleId="13">
    <w:name w:val="Default Paragraph Font"/>
    <w:qFormat/>
    <w:uiPriority w:val="0"/>
    <w:rPr>
      <w:rFonts w:eastAsia="微软雅黑" w:asciiTheme="minorAscii" w:hAnsiTheme="minorAscii"/>
    </w:rPr>
  </w:style>
  <w:style w:type="table" w:default="1" w:styleId="11">
    <w:name w:val="Normal Table"/>
    <w:semiHidden/>
    <w:qFormat/>
    <w:uiPriority w:val="0"/>
    <w:tblPr>
      <w:tblCellMar>
        <w:top w:w="0" w:type="dxa"/>
        <w:left w:w="108" w:type="dxa"/>
        <w:bottom w:w="0" w:type="dxa"/>
        <w:right w:w="108" w:type="dxa"/>
      </w:tblCellMar>
    </w:tblPr>
  </w:style>
  <w:style w:type="table" w:styleId="12">
    <w:name w:val="Table Grid"/>
    <w:basedOn w:val="11"/>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D:\data\weboffice\C:\data\weboffice\C:\data\weboffice\C:\data\weboffice\C:\data\weboffice\C:\data\weboffice\C:\Users\June\Library\Containers\com.kingsoft.wpsoffice.mac\Data\C:\data\weboffic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1549</Words>
  <Characters>1717</Characters>
  <Lines>0</Lines>
  <Paragraphs>0</Paragraphs>
  <TotalTime>0</TotalTime>
  <ScaleCrop>false</ScaleCrop>
  <LinksUpToDate>false</LinksUpToDate>
  <CharactersWithSpaces>1717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2018-05-27T17:24:00Z</dcterms:created>
  <dc:creator>ANZHIYU</dc:creator>
  <cp:lastModifiedBy>薇薇</cp:lastModifiedBy>
  <dcterms:modified xsi:type="dcterms:W3CDTF">2026-03-07T01:12:31Z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woTemplateTypoMode" linkTarget="0">
    <vt:lpwstr/>
  </property>
  <property fmtid="{D5CDD505-2E9C-101B-9397-08002B2CF9AE}" pid="4" name="woTemplate" linkTarget="0">
    <vt:i4>0</vt:i4>
  </property>
  <property fmtid="{D5CDD505-2E9C-101B-9397-08002B2CF9AE}" pid="5" name="KSOTemplateDocerSaveRecord">
    <vt:lpwstr>eyJoZGlkIjoiYjM0ZDQzYWRhODAyODBjNDBmYjg0MGVkNjUxZDc5MTEiLCJ1c2VySWQiOiI0NDM3NjM5MTAifQ==</vt:lpwstr>
  </property>
  <property fmtid="{D5CDD505-2E9C-101B-9397-08002B2CF9AE}" pid="6" name="ICV">
    <vt:lpwstr>A4A3292ACF44455EB811FCCE867357A3_12</vt:lpwstr>
  </property>
</Properties>
</file>